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0" w:line="240" w:lineRule="auto"/>
        <w:jc w:val="center"/>
        <w:rPr/>
      </w:pPr>
      <w:bookmarkStart w:colFirst="0" w:colLast="0" w:name="_711xc5ha8667" w:id="0"/>
      <w:bookmarkEnd w:id="0"/>
      <w:r w:rsidDel="00000000" w:rsidR="00000000" w:rsidRPr="00000000">
        <w:rPr>
          <w:rtl w:val="0"/>
        </w:rPr>
        <w:t xml:space="preserve">MiraCosta College Accessibility Checklist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8790"/>
        <w:tblGridChange w:id="0">
          <w:tblGrid>
            <w:gridCol w:w="570"/>
            <w:gridCol w:w="879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widowControl w:val="0"/>
              <w:spacing w:before="0" w:line="240" w:lineRule="auto"/>
              <w:rPr>
                <w:sz w:val="24"/>
                <w:szCs w:val="24"/>
              </w:rPr>
            </w:pPr>
            <w:bookmarkStart w:colFirst="0" w:colLast="0" w:name="_i8axob6t74yo" w:id="1"/>
            <w:bookmarkEnd w:id="1"/>
            <w:r w:rsidDel="00000000" w:rsidR="00000000" w:rsidRPr="00000000">
              <w:rPr>
                <w:rtl w:val="0"/>
              </w:rPr>
              <w:t xml:space="preserve">Fonts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Heading levels (Heading 1, Heading 2, etc.) are used in correct order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Fonts, colors, formats (bold, italics) are not used in lieu of heading styles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readable fonts and font sizes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9p52p3c0ysyi" w:id="2"/>
            <w:bookmarkEnd w:id="2"/>
            <w:r w:rsidDel="00000000" w:rsidR="00000000" w:rsidRPr="00000000">
              <w:rPr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Lists are created using the bullet or numbered list tool</w:t>
            </w:r>
          </w:p>
        </w:tc>
      </w:tr>
      <w:tr>
        <w:trPr>
          <w:trHeight w:val="36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5mbo7vulyxd5" w:id="3"/>
            <w:bookmarkEnd w:id="3"/>
            <w:r w:rsidDel="00000000" w:rsidR="00000000" w:rsidRPr="00000000">
              <w:rPr>
                <w:rtl w:val="0"/>
              </w:rPr>
              <w:t xml:space="preserve">Links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Links are identified with meaningful and unique text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use terms like “click here”, “select this”, “on the left”, “see right”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Linked pages should also be accessible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5rzuraagrkr8" w:id="4"/>
            <w:bookmarkEnd w:id="4"/>
            <w:r w:rsidDel="00000000" w:rsidR="00000000" w:rsidRPr="00000000">
              <w:rPr>
                <w:rtl w:val="0"/>
              </w:rPr>
              <w:t xml:space="preserve">Tables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Column and/or row header cells are designated so that screen readers can read table cells in the correct order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table caption is included for more complex tables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Tip: Use the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Canvas Accessibility Checker</w:t>
              </w:r>
            </w:hyperlink>
            <w:r w:rsidDel="00000000" w:rsidR="00000000" w:rsidRPr="00000000">
              <w:rPr>
                <w:rtl w:val="0"/>
              </w:rPr>
              <w:t xml:space="preserve"> when making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by3dx5tf4cc2" w:id="5"/>
            <w:bookmarkEnd w:id="5"/>
            <w:r w:rsidDel="00000000" w:rsidR="00000000" w:rsidRPr="00000000">
              <w:rPr>
                <w:rtl w:val="0"/>
              </w:rPr>
              <w:t xml:space="preserve">Color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sufficient color contrast between foreground text and background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Use the WebAIM: Color Contrast Checker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Color is not used as the only means of conveying information, adding emphasis, indicating action, or otherwise distinguishing a visual element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Images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Avoid images with lots of text (e.g. infographics)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images have appropriate alternative text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Decorative images should indicate no alternative text (alt text=“”)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Alternative text does not contain “image of”, “picture of”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file </w:t>
            </w:r>
            <w:r w:rsidDel="00000000" w:rsidR="00000000" w:rsidRPr="00000000">
              <w:rPr>
                <w:rtl w:val="0"/>
              </w:rPr>
              <w:t xml:space="preserve">name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(“.jpg”)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Use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</w:t>
            </w:r>
            <w:r w:rsidDel="00000000" w:rsidR="00000000" w:rsidRPr="00000000">
              <w:rPr>
                <w:rtl w:val="0"/>
              </w:rPr>
              <w:t xml:space="preserve">naming devices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(“</w:t>
            </w:r>
            <w:r w:rsidDel="00000000" w:rsidR="00000000" w:rsidRPr="00000000">
              <w:rPr>
                <w:rtl w:val="0"/>
              </w:rPr>
              <w:t xml:space="preserve">Unit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Quiz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 and not “Weekly </w:t>
            </w:r>
            <w:r w:rsidDel="00000000" w:rsidR="00000000" w:rsidRPr="00000000">
              <w:rPr>
                <w:rtl w:val="0"/>
              </w:rPr>
              <w:t xml:space="preserve">Quiz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Divide large blocks of text into smaller more manageable sections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level is appropriate for the class</w:t>
            </w:r>
            <w:r w:rsidDel="00000000" w:rsidR="00000000" w:rsidRPr="00000000">
              <w:rPr>
                <w:rtl w:val="0"/>
              </w:rPr>
              <w:t xml:space="preserve"> using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Readability Analyzer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text aloud to ensure content and directions make sense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order is correctly set so that content is presented in the proper sequence when using screen readers and other assistive technologies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Slides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Each slide has a unique title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Slides are created using built-in accessible slide layouts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text is visible in Outline View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Spreadsheets include labels for the rows and columns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Include detailed labels for charts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Include descriptions that draw attention to key cells, trends, and totals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Avoid videos with text that does not have accompanying captioning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All video must have accurate captions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If a video has no audio or instructionally relevant soundtrack, a note explaining that should accompany the video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Videos (including gifs) do not blink or strobe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Video content should not be set to auto-play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files inside the course management system and external audio-only content linked to from within the course needs transcripts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content should not be set to auto-play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Live Captions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 broadcast and synchronous video conferences must include a means for displaying synchronized captions if requested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CCC Confer Zoom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33650" y="1085850"/>
                                <a:ext cx="2162100" cy="21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widowControl w:val="0"/>
              <w:spacing w:before="0" w:line="240" w:lineRule="auto"/>
              <w:rPr/>
            </w:pPr>
            <w:bookmarkStart w:colFirst="0" w:colLast="0" w:name="_vexijanpj552" w:id="6"/>
            <w:bookmarkEnd w:id="6"/>
            <w:r w:rsidDel="00000000" w:rsidR="00000000" w:rsidRPr="00000000">
              <w:rPr>
                <w:rtl w:val="0"/>
              </w:rPr>
              <w:t xml:space="preserve">Accessibility Checkers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Canvas </w:t>
              </w:r>
            </w:hyperlink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Accessibility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</w:t>
              </w:r>
            </w:hyperlink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hecker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Microsoft Word Accessibility Checker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Microsoft PowerPoint Accessibility Checker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Adobe Accessibility Checker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(PDF)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Google Drive Accessibility Suggestions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MiraCosta College Support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Disabled Students Programs and Services (DSPS)</w:t>
        </w:r>
      </w:hyperlink>
      <w:r w:rsidDel="00000000" w:rsidR="00000000" w:rsidRPr="00000000">
        <w:rPr>
          <w:rtl w:val="0"/>
        </w:rPr>
        <w:t xml:space="preserve"> Oceanside 3000, 760.795.6658</w:t>
      </w:r>
    </w:p>
    <w:p w:rsidR="00000000" w:rsidDel="00000000" w:rsidP="00000000" w:rsidRDefault="00000000" w:rsidRPr="00000000" w14:paraId="00000049">
      <w:pPr>
        <w:ind w:left="0" w:firstLine="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Teaching/Technology Innovation Center (TIC)</w:t>
        </w:r>
      </w:hyperlink>
      <w:r w:rsidDel="00000000" w:rsidR="00000000" w:rsidRPr="00000000">
        <w:rPr>
          <w:rtl w:val="0"/>
        </w:rPr>
        <w:t xml:space="preserve"> Oceanside </w:t>
      </w:r>
      <w:r w:rsidDel="00000000" w:rsidR="00000000" w:rsidRPr="00000000">
        <w:rPr>
          <w:color w:val="111111"/>
          <w:highlight w:val="white"/>
          <w:rtl w:val="0"/>
        </w:rPr>
        <w:t xml:space="preserve">1254, 760.795.6787</w:t>
      </w:r>
      <w:r w:rsidDel="00000000" w:rsidR="00000000" w:rsidRPr="00000000">
        <w:rPr>
          <w:rtl w:val="0"/>
        </w:rPr>
      </w:r>
    </w:p>
    <w:sectPr>
      <w:headerReference r:id="rId3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1.png"/><Relationship Id="rId21" Type="http://schemas.openxmlformats.org/officeDocument/2006/relationships/hyperlink" Target="https://tic.miracosta.edu/campus-teaching-technologies/conferzoom/" TargetMode="External"/><Relationship Id="rId24" Type="http://schemas.openxmlformats.org/officeDocument/2006/relationships/hyperlink" Target="https://support.google.com/docs/answer/6282736?hl=en&amp;ref_topic=6039805" TargetMode="External"/><Relationship Id="rId23" Type="http://schemas.openxmlformats.org/officeDocument/2006/relationships/hyperlink" Target="https://support.google.com/docs/answer/6282736?hl=en&amp;ref_topic=603980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support.google.com/docs/answer/6282736?hl=en&amp;ref_topic=6039805" TargetMode="External"/><Relationship Id="rId25" Type="http://schemas.openxmlformats.org/officeDocument/2006/relationships/hyperlink" Target="https://support.google.com/docs/answer/6282736?hl=en&amp;ref_topic=6039805" TargetMode="External"/><Relationship Id="rId28" Type="http://schemas.openxmlformats.org/officeDocument/2006/relationships/hyperlink" Target="https://support.office.com/en-us/article/make-your-powerpoint-presentations-accessible-6f7772b2-2f33-4bd2-8ca7-dae3b2b3ef25?ocmsassetID=HA102013555&amp;CorrelationId=70a01db8-5a8f-4e78-8637-8846f897b162&amp;ui=en-US&amp;rs=en-US&amp;ad=US" TargetMode="External"/><Relationship Id="rId27" Type="http://schemas.openxmlformats.org/officeDocument/2006/relationships/hyperlink" Target="https://support.office.com/en-us/article/make-your-word-documents-accessible-to-people-with-disabilities-d9bf3683-87ac-47ea-b91a-78dcacb3c66d?ocmsassetID=HA101999993&amp;CorrelationId=647a95c1-5089-4679-9e1c-ab6780d7be63&amp;ui=en-US&amp;rs=en-US&amp;ad=US" TargetMode="External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hyperlink" Target="https://www.adobe.com/content/dam/acom/en/accessibility/products/acrobat/pdfs/acrobat-x-accessibility-checker.pdf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3.png"/><Relationship Id="rId31" Type="http://schemas.openxmlformats.org/officeDocument/2006/relationships/hyperlink" Target="http://www.miracosta.edu/studentservices/dsps/index.html" TargetMode="External"/><Relationship Id="rId30" Type="http://schemas.openxmlformats.org/officeDocument/2006/relationships/hyperlink" Target="https://support.google.com/docs/answer/6282736?hl=en&amp;ref_topic=6039805" TargetMode="External"/><Relationship Id="rId11" Type="http://schemas.openxmlformats.org/officeDocument/2006/relationships/image" Target="media/image13.png"/><Relationship Id="rId33" Type="http://schemas.openxmlformats.org/officeDocument/2006/relationships/header" Target="header1.xml"/><Relationship Id="rId10" Type="http://schemas.openxmlformats.org/officeDocument/2006/relationships/hyperlink" Target="https://support.google.com/docs/answer/6282736?hl=en&amp;ref_topic=6039805" TargetMode="External"/><Relationship Id="rId32" Type="http://schemas.openxmlformats.org/officeDocument/2006/relationships/hyperlink" Target="https://tic.miracosta.edu/requests/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ebaim.org/resources/contrastchecker/" TargetMode="External"/><Relationship Id="rId15" Type="http://schemas.openxmlformats.org/officeDocument/2006/relationships/hyperlink" Target="https://datayze.com/readability-analyzer.php" TargetMode="External"/><Relationship Id="rId14" Type="http://schemas.openxmlformats.org/officeDocument/2006/relationships/image" Target="media/image10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9" Type="http://schemas.openxmlformats.org/officeDocument/2006/relationships/image" Target="media/image9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